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41" w:rsidRDefault="00280F51" w:rsidP="00A20B4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Calibri Light"/>
          <w:b/>
          <w:color w:val="000000"/>
          <w:sz w:val="40"/>
          <w:szCs w:val="40"/>
        </w:rPr>
      </w:pPr>
      <w:r>
        <w:rPr>
          <w:rFonts w:ascii="Lucida Sans" w:eastAsia="Lucida Sans" w:hAnsi="Lucida Sans" w:cs="Calibri Light"/>
          <w:b/>
          <w:color w:val="000000"/>
          <w:sz w:val="40"/>
          <w:szCs w:val="40"/>
        </w:rPr>
        <w:t>El Ayuntamiento de Caravaca pide</w:t>
      </w:r>
      <w:r w:rsidR="00E2451E">
        <w:rPr>
          <w:rFonts w:ascii="Lucida Sans" w:eastAsia="Lucida Sans" w:hAnsi="Lucida Sans" w:cs="Calibri Light"/>
          <w:b/>
          <w:color w:val="000000"/>
          <w:sz w:val="40"/>
          <w:szCs w:val="40"/>
        </w:rPr>
        <w:t xml:space="preserve"> </w:t>
      </w:r>
      <w:r>
        <w:rPr>
          <w:rFonts w:ascii="Lucida Sans" w:eastAsia="Lucida Sans" w:hAnsi="Lucida Sans" w:cs="Calibri Light"/>
          <w:b/>
          <w:color w:val="000000"/>
          <w:sz w:val="40"/>
          <w:szCs w:val="40"/>
        </w:rPr>
        <w:t xml:space="preserve">que </w:t>
      </w:r>
      <w:r w:rsidR="00215B0C">
        <w:rPr>
          <w:rFonts w:ascii="Lucida Sans" w:eastAsia="Lucida Sans" w:hAnsi="Lucida Sans" w:cs="Calibri Light"/>
          <w:b/>
          <w:color w:val="000000"/>
          <w:sz w:val="40"/>
          <w:szCs w:val="40"/>
        </w:rPr>
        <w:t xml:space="preserve">se </w:t>
      </w:r>
      <w:r>
        <w:rPr>
          <w:rFonts w:ascii="Lucida Sans" w:eastAsia="Lucida Sans" w:hAnsi="Lucida Sans" w:cs="Calibri Light"/>
          <w:b/>
          <w:color w:val="000000"/>
          <w:sz w:val="40"/>
          <w:szCs w:val="40"/>
        </w:rPr>
        <w:t>elimine la nueva restricción</w:t>
      </w:r>
      <w:r w:rsidR="00E2451E">
        <w:rPr>
          <w:rFonts w:ascii="Lucida Sans" w:eastAsia="Lucida Sans" w:hAnsi="Lucida Sans" w:cs="Calibri Light"/>
          <w:b/>
          <w:color w:val="000000"/>
          <w:sz w:val="40"/>
          <w:szCs w:val="40"/>
        </w:rPr>
        <w:t xml:space="preserve"> </w:t>
      </w:r>
      <w:r w:rsidR="00F47035">
        <w:rPr>
          <w:rFonts w:ascii="Lucida Sans" w:eastAsia="Lucida Sans" w:hAnsi="Lucida Sans" w:cs="Calibri Light"/>
          <w:b/>
          <w:color w:val="000000"/>
          <w:sz w:val="40"/>
          <w:szCs w:val="40"/>
        </w:rPr>
        <w:t xml:space="preserve">impuesta </w:t>
      </w:r>
      <w:r w:rsidR="00E2451E">
        <w:rPr>
          <w:rFonts w:ascii="Lucida Sans" w:eastAsia="Lucida Sans" w:hAnsi="Lucida Sans" w:cs="Calibri Light"/>
          <w:b/>
          <w:color w:val="000000"/>
          <w:sz w:val="40"/>
          <w:szCs w:val="40"/>
        </w:rPr>
        <w:t>a los regadíos tradicionales,</w:t>
      </w:r>
      <w:r>
        <w:rPr>
          <w:rFonts w:ascii="Lucida Sans" w:eastAsia="Lucida Sans" w:hAnsi="Lucida Sans" w:cs="Calibri Light"/>
          <w:b/>
          <w:color w:val="000000"/>
          <w:sz w:val="40"/>
          <w:szCs w:val="40"/>
        </w:rPr>
        <w:t xml:space="preserve"> </w:t>
      </w:r>
      <w:r w:rsidR="00E2451E">
        <w:rPr>
          <w:rFonts w:ascii="Lucida Sans" w:eastAsia="Lucida Sans" w:hAnsi="Lucida Sans" w:cs="Calibri Light"/>
          <w:b/>
          <w:color w:val="000000"/>
          <w:sz w:val="40"/>
          <w:szCs w:val="40"/>
        </w:rPr>
        <w:t xml:space="preserve">que reduce en un 25% </w:t>
      </w:r>
      <w:r w:rsidR="008E49B9">
        <w:rPr>
          <w:rFonts w:ascii="Lucida Sans" w:eastAsia="Lucida Sans" w:hAnsi="Lucida Sans" w:cs="Calibri Light"/>
          <w:b/>
          <w:color w:val="000000"/>
          <w:sz w:val="40"/>
          <w:szCs w:val="40"/>
        </w:rPr>
        <w:t>el</w:t>
      </w:r>
      <w:r w:rsidR="00E2451E">
        <w:rPr>
          <w:rFonts w:ascii="Lucida Sans" w:eastAsia="Lucida Sans" w:hAnsi="Lucida Sans" w:cs="Calibri Light"/>
          <w:b/>
          <w:color w:val="000000"/>
          <w:sz w:val="40"/>
          <w:szCs w:val="40"/>
        </w:rPr>
        <w:t xml:space="preserve"> uso del agua de manantiales</w:t>
      </w:r>
    </w:p>
    <w:p w:rsidR="00280F51" w:rsidRPr="00E2451E" w:rsidRDefault="00A20B41" w:rsidP="00E2451E">
      <w:pPr>
        <w:tabs>
          <w:tab w:val="left" w:pos="1470"/>
        </w:tabs>
        <w:jc w:val="both"/>
        <w:rPr>
          <w:rFonts w:ascii="Lucida Sans" w:hAnsi="Lucida Sans" w:cs="Arial"/>
          <w:b/>
          <w:sz w:val="28"/>
          <w:szCs w:val="28"/>
        </w:rPr>
      </w:pPr>
      <w:r>
        <w:rPr>
          <w:rFonts w:ascii="Lucida Sans" w:hAnsi="Lucida Sans" w:cs="Arial"/>
          <w:b/>
          <w:sz w:val="28"/>
          <w:szCs w:val="28"/>
        </w:rPr>
        <w:tab/>
      </w:r>
    </w:p>
    <w:p w:rsidR="00280F51" w:rsidRDefault="00280F51" w:rsidP="00482907">
      <w:pPr>
        <w:jc w:val="both"/>
        <w:rPr>
          <w:rFonts w:ascii="Lucida Sans" w:eastAsia="Lucida Sans" w:hAnsi="Lucida Sans" w:cs="Calibri Light"/>
          <w:b/>
          <w:sz w:val="28"/>
          <w:szCs w:val="28"/>
        </w:rPr>
      </w:pPr>
    </w:p>
    <w:p w:rsidR="00D05E06" w:rsidRPr="00215B0C" w:rsidRDefault="00215B0C" w:rsidP="00215B0C">
      <w:pPr>
        <w:jc w:val="both"/>
        <w:rPr>
          <w:rFonts w:ascii="Lucida Sans" w:eastAsia="Lucida Sans" w:hAnsi="Lucida Sans" w:cs="Calibri Light"/>
          <w:b/>
          <w:sz w:val="28"/>
          <w:szCs w:val="28"/>
        </w:rPr>
      </w:pPr>
      <w:r w:rsidRPr="00215B0C">
        <w:rPr>
          <w:rFonts w:ascii="Lucida Sans" w:eastAsia="Lucida Sans" w:hAnsi="Lucida Sans" w:cs="Calibri Light"/>
          <w:b/>
          <w:sz w:val="28"/>
          <w:szCs w:val="28"/>
        </w:rPr>
        <w:t>Las</w:t>
      </w:r>
      <w:r w:rsidRPr="00215B0C">
        <w:rPr>
          <w:rFonts w:ascii="Lucida Sans" w:eastAsiaTheme="minorHAnsi" w:hAnsi="Lucida Sans" w:cs="Arial"/>
          <w:b/>
          <w:sz w:val="28"/>
          <w:szCs w:val="28"/>
          <w:lang w:val="es-ES" w:eastAsia="en-US"/>
        </w:rPr>
        <w:t xml:space="preserve"> Comunidades de Regantes de Caravaca, que agrupan a 4.027 agricultores de regadío tradicional y a 3.189 comuneros, argumentan no se dan las condiciones que alega la CHS y que se sienten indefensos al ignorarse su voz</w:t>
      </w:r>
    </w:p>
    <w:p w:rsidR="005963F5" w:rsidRPr="00215B0C" w:rsidRDefault="005963F5" w:rsidP="00215B0C">
      <w:pPr>
        <w:jc w:val="both"/>
        <w:rPr>
          <w:rFonts w:ascii="Lucida Sans" w:eastAsia="Lucida Sans" w:hAnsi="Lucida Sans" w:cs="Calibri Light"/>
          <w:b/>
          <w:sz w:val="28"/>
          <w:szCs w:val="28"/>
        </w:rPr>
      </w:pPr>
    </w:p>
    <w:p w:rsidR="00685987" w:rsidRPr="00215B0C" w:rsidRDefault="00280F51" w:rsidP="00215B0C">
      <w:pPr>
        <w:jc w:val="both"/>
        <w:rPr>
          <w:rFonts w:ascii="Lucida Sans" w:eastAsia="Lucida Sans" w:hAnsi="Lucida Sans" w:cs="Calibri Light"/>
          <w:b/>
          <w:sz w:val="28"/>
          <w:szCs w:val="28"/>
        </w:rPr>
      </w:pPr>
      <w:r w:rsidRPr="00215B0C">
        <w:rPr>
          <w:rFonts w:ascii="Lucida Sans" w:eastAsia="Lucida Sans" w:hAnsi="Lucida Sans" w:cs="Calibri Light"/>
          <w:b/>
          <w:sz w:val="28"/>
          <w:szCs w:val="28"/>
        </w:rPr>
        <w:t>E</w:t>
      </w:r>
      <w:r w:rsidR="00215B0C" w:rsidRPr="00215B0C">
        <w:rPr>
          <w:rFonts w:ascii="Lucida Sans" w:eastAsia="Lucida Sans" w:hAnsi="Lucida Sans" w:cs="Calibri Light"/>
          <w:b/>
          <w:sz w:val="28"/>
          <w:szCs w:val="28"/>
        </w:rPr>
        <w:t xml:space="preserve">n el Pleno también se aprobó una segunda moción que </w:t>
      </w:r>
      <w:r w:rsidR="00693F96">
        <w:rPr>
          <w:rFonts w:ascii="Lucida Sans" w:eastAsia="Lucida Sans" w:hAnsi="Lucida Sans" w:cs="Calibri Light"/>
          <w:b/>
          <w:sz w:val="28"/>
          <w:szCs w:val="28"/>
        </w:rPr>
        <w:t>reclama</w:t>
      </w:r>
      <w:r w:rsidR="00215B0C">
        <w:rPr>
          <w:rFonts w:ascii="Lucida Sans" w:eastAsia="Lucida Sans" w:hAnsi="Lucida Sans" w:cs="Calibri Light"/>
          <w:b/>
          <w:sz w:val="28"/>
          <w:szCs w:val="28"/>
        </w:rPr>
        <w:t xml:space="preserve"> más</w:t>
      </w:r>
      <w:r w:rsidR="00215B0C" w:rsidRPr="00215B0C">
        <w:rPr>
          <w:rFonts w:ascii="Lucida Sans" w:eastAsia="Lucida Sans" w:hAnsi="Lucida Sans" w:cs="Calibri Light"/>
          <w:b/>
          <w:sz w:val="28"/>
          <w:szCs w:val="28"/>
        </w:rPr>
        <w:t xml:space="preserve"> medidas económicas urgentes para el sector agrícola, así como otras dos relacionadas con la actualización de las entregas a cuenta a los ayuntamientos y el ‘Día Internacional de las Mujeres’</w:t>
      </w:r>
    </w:p>
    <w:p w:rsidR="00215B0C" w:rsidRPr="00215B0C" w:rsidRDefault="00215B0C" w:rsidP="00215B0C">
      <w:pPr>
        <w:jc w:val="both"/>
        <w:rPr>
          <w:rFonts w:ascii="Lucida Sans" w:eastAsia="Lucida Sans" w:hAnsi="Lucida Sans" w:cs="Calibri Light"/>
          <w:b/>
          <w:sz w:val="28"/>
          <w:szCs w:val="28"/>
        </w:rPr>
      </w:pPr>
    </w:p>
    <w:p w:rsidR="00215B0C" w:rsidRPr="00215B0C" w:rsidRDefault="00215B0C" w:rsidP="00215B0C">
      <w:pPr>
        <w:jc w:val="both"/>
        <w:rPr>
          <w:rFonts w:ascii="Lucida Sans" w:eastAsia="Lucida Sans" w:hAnsi="Lucida Sans" w:cs="Calibri Light"/>
          <w:b/>
          <w:sz w:val="28"/>
          <w:szCs w:val="28"/>
        </w:rPr>
      </w:pPr>
      <w:r w:rsidRPr="00215B0C">
        <w:rPr>
          <w:rFonts w:ascii="Lucida Sans" w:eastAsia="Lucida Sans" w:hAnsi="Lucida Sans" w:cs="Calibri Light"/>
          <w:b/>
          <w:sz w:val="28"/>
          <w:szCs w:val="28"/>
        </w:rPr>
        <w:t xml:space="preserve">La Concejalía de Hacienda </w:t>
      </w:r>
      <w:r>
        <w:rPr>
          <w:rFonts w:ascii="Lucida Sans" w:eastAsia="Lucida Sans" w:hAnsi="Lucida Sans" w:cs="Calibri Light"/>
          <w:b/>
          <w:sz w:val="28"/>
          <w:szCs w:val="28"/>
        </w:rPr>
        <w:t xml:space="preserve">presentó </w:t>
      </w:r>
      <w:r w:rsidRPr="00215B0C">
        <w:rPr>
          <w:rFonts w:ascii="Lucida Sans" w:eastAsia="Lucida Sans" w:hAnsi="Lucida Sans" w:cs="Calibri Light"/>
          <w:b/>
          <w:sz w:val="28"/>
          <w:szCs w:val="28"/>
        </w:rPr>
        <w:t xml:space="preserve">el </w:t>
      </w:r>
      <w:r w:rsidRPr="00215B0C">
        <w:rPr>
          <w:rFonts w:ascii="Lucida Sans" w:eastAsiaTheme="minorHAnsi" w:hAnsi="Lucida Sans" w:cs="TimesNewRomanPSMT"/>
          <w:b/>
          <w:sz w:val="28"/>
          <w:szCs w:val="28"/>
          <w:lang w:val="es-ES" w:eastAsia="en-US"/>
        </w:rPr>
        <w:t>informe del Comité Antifraude, donde se corrobora el correcto uso y aplicación de los fondos europeos ‘Next Generation’</w:t>
      </w:r>
      <w:r>
        <w:rPr>
          <w:rFonts w:ascii="Lucida Sans" w:eastAsiaTheme="minorHAnsi" w:hAnsi="Lucida Sans" w:cs="TimesNewRomanPSMT"/>
          <w:b/>
          <w:sz w:val="28"/>
          <w:szCs w:val="28"/>
          <w:lang w:val="es-ES" w:eastAsia="en-US"/>
        </w:rPr>
        <w:t>,</w:t>
      </w:r>
      <w:r w:rsidRPr="00215B0C">
        <w:rPr>
          <w:rFonts w:ascii="Lucida Sans" w:eastAsiaTheme="minorHAnsi" w:hAnsi="Lucida Sans" w:cs="TimesNewRomanPSMT"/>
          <w:b/>
          <w:sz w:val="28"/>
          <w:szCs w:val="28"/>
          <w:lang w:val="es-ES" w:eastAsia="en-US"/>
        </w:rPr>
        <w:t xml:space="preserve"> que el Ayuntamiento de Caravaca ha recibido a través de un total de 13 subvenciones</w:t>
      </w:r>
    </w:p>
    <w:p w:rsidR="00B60DCE" w:rsidRDefault="00B60DCE" w:rsidP="004168B2">
      <w:pPr>
        <w:spacing w:line="312" w:lineRule="auto"/>
        <w:ind w:firstLine="708"/>
        <w:jc w:val="both"/>
        <w:rPr>
          <w:rFonts w:ascii="Lucida Sans" w:eastAsia="Lucida Sans" w:hAnsi="Lucida Sans" w:cs="Calibri Light"/>
          <w:b/>
        </w:rPr>
      </w:pPr>
    </w:p>
    <w:p w:rsidR="002C183A" w:rsidRPr="00946E3C" w:rsidRDefault="002C183A" w:rsidP="00946E3C">
      <w:pPr>
        <w:spacing w:line="312" w:lineRule="auto"/>
        <w:jc w:val="both"/>
        <w:rPr>
          <w:rFonts w:ascii="Lucida Sans" w:eastAsia="Lucida Sans" w:hAnsi="Lucida Sans" w:cs="Calibri Light"/>
          <w:b/>
        </w:rPr>
      </w:pPr>
    </w:p>
    <w:p w:rsidR="00280F51" w:rsidRPr="00946E3C" w:rsidRDefault="004E07FB" w:rsidP="00946E3C">
      <w:pPr>
        <w:spacing w:line="312" w:lineRule="auto"/>
        <w:jc w:val="both"/>
        <w:rPr>
          <w:rFonts w:ascii="Lucida Sans" w:eastAsia="Lucida Sans" w:hAnsi="Lucida Sans" w:cs="Calibri Light"/>
        </w:rPr>
      </w:pPr>
      <w:r w:rsidRPr="00946E3C">
        <w:rPr>
          <w:rFonts w:ascii="Lucida Sans" w:eastAsia="Lucida Sans" w:hAnsi="Lucida Sans" w:cs="Calibri Light"/>
          <w:b/>
        </w:rPr>
        <w:t>2</w:t>
      </w:r>
      <w:r w:rsidR="00280F51" w:rsidRPr="00946E3C">
        <w:rPr>
          <w:rFonts w:ascii="Lucida Sans" w:eastAsia="Lucida Sans" w:hAnsi="Lucida Sans" w:cs="Calibri Light"/>
          <w:b/>
        </w:rPr>
        <w:t>5</w:t>
      </w:r>
      <w:r w:rsidR="00A20B41" w:rsidRPr="00946E3C">
        <w:rPr>
          <w:rFonts w:ascii="Lucida Sans" w:eastAsia="Lucida Sans" w:hAnsi="Lucida Sans" w:cs="Calibri Light"/>
          <w:b/>
        </w:rPr>
        <w:t>/02/2025.</w:t>
      </w:r>
      <w:bookmarkStart w:id="0" w:name="_gjdgxs" w:colFirst="0" w:colLast="0"/>
      <w:bookmarkStart w:id="1" w:name="_GoBack"/>
      <w:bookmarkEnd w:id="0"/>
      <w:bookmarkEnd w:id="1"/>
      <w:r w:rsidR="005963F5" w:rsidRPr="00946E3C">
        <w:rPr>
          <w:rFonts w:ascii="Lucida Sans" w:eastAsia="Lucida Sans" w:hAnsi="Lucida Sans" w:cs="Calibri Light"/>
        </w:rPr>
        <w:t xml:space="preserve"> </w:t>
      </w:r>
      <w:r w:rsidR="00E2451E" w:rsidRPr="00946E3C">
        <w:rPr>
          <w:rFonts w:ascii="Lucida Sans" w:eastAsia="Lucida Sans" w:hAnsi="Lucida Sans" w:cs="Calibri Light"/>
        </w:rPr>
        <w:t xml:space="preserve">A través de una moción aprobada en la última sesión plenaria, el Ayuntamiento de Caravaca de la Cruz </w:t>
      </w:r>
      <w:r w:rsidR="00E2451E" w:rsidRPr="008E49B9">
        <w:rPr>
          <w:rFonts w:ascii="Lucida Sans" w:eastAsia="Lucida Sans" w:hAnsi="Lucida Sans" w:cs="Calibri Light"/>
          <w:b/>
        </w:rPr>
        <w:t xml:space="preserve">insta </w:t>
      </w:r>
      <w:r w:rsidR="008E49B9" w:rsidRPr="008E49B9">
        <w:rPr>
          <w:rFonts w:ascii="Lucida Sans" w:eastAsia="Lucida Sans" w:hAnsi="Lucida Sans" w:cs="Calibri Light"/>
          <w:b/>
        </w:rPr>
        <w:t xml:space="preserve">a </w:t>
      </w:r>
      <w:r w:rsidR="00E2451E" w:rsidRPr="008E49B9">
        <w:rPr>
          <w:rFonts w:ascii="Lucida Sans" w:eastAsia="Lucida Sans" w:hAnsi="Lucida Sans" w:cs="Calibri Light"/>
          <w:b/>
        </w:rPr>
        <w:t>la Confederación Hidrográfica del Segura (CHS)</w:t>
      </w:r>
      <w:r w:rsidR="00E2451E" w:rsidRPr="00946E3C">
        <w:rPr>
          <w:rFonts w:ascii="Lucida Sans" w:eastAsia="Lucida Sans" w:hAnsi="Lucida Sans" w:cs="Calibri Light"/>
        </w:rPr>
        <w:t>, organismo dependiente del Ministerio para la Transición Ecológica y el Reto Demográfico, a</w:t>
      </w:r>
      <w:r w:rsidR="008E49B9">
        <w:rPr>
          <w:rFonts w:ascii="Lucida Sans" w:eastAsia="Lucida Sans" w:hAnsi="Lucida Sans" w:cs="Calibri Light"/>
        </w:rPr>
        <w:t xml:space="preserve"> que</w:t>
      </w:r>
      <w:r w:rsidR="00E2451E" w:rsidRPr="00946E3C">
        <w:rPr>
          <w:rFonts w:ascii="Lucida Sans" w:eastAsia="Lucida Sans" w:hAnsi="Lucida Sans" w:cs="Calibri Light"/>
        </w:rPr>
        <w:t xml:space="preserve"> </w:t>
      </w:r>
      <w:r w:rsidR="00E2451E" w:rsidRPr="008E49B9">
        <w:rPr>
          <w:rFonts w:ascii="Lucida Sans" w:eastAsia="Lucida Sans" w:hAnsi="Lucida Sans" w:cs="Calibri Light"/>
          <w:b/>
        </w:rPr>
        <w:t xml:space="preserve">revierta la nueva resolución que obliga a una reducción anual del 25% sobre los derechos de aprovechamiento que los regadíos tradicionales del municipio tienen de las aguas de </w:t>
      </w:r>
      <w:r w:rsidR="00E2451E" w:rsidRPr="008E49B9">
        <w:rPr>
          <w:rFonts w:ascii="Lucida Sans" w:eastAsia="Lucida Sans" w:hAnsi="Lucida Sans" w:cs="Calibri Light"/>
          <w:b/>
        </w:rPr>
        <w:lastRenderedPageBreak/>
        <w:t>manantiales</w:t>
      </w:r>
      <w:r w:rsidR="00E2451E" w:rsidRPr="00946E3C">
        <w:rPr>
          <w:rFonts w:ascii="Lucida Sans" w:eastAsia="Lucida Sans" w:hAnsi="Lucida Sans" w:cs="Calibri Light"/>
        </w:rPr>
        <w:t xml:space="preserve"> no destinadas a abastecimiento humano y busque otras soluciones consensuadas con las comunidades de regantes.</w:t>
      </w:r>
    </w:p>
    <w:p w:rsidR="00E2451E" w:rsidRPr="00946E3C" w:rsidRDefault="00E2451E" w:rsidP="00946E3C">
      <w:pPr>
        <w:spacing w:line="312" w:lineRule="auto"/>
        <w:jc w:val="both"/>
        <w:rPr>
          <w:rFonts w:ascii="Lucida Sans" w:eastAsia="Lucida Sans" w:hAnsi="Lucida Sans" w:cs="Calibri Light"/>
        </w:rPr>
      </w:pPr>
    </w:p>
    <w:p w:rsidR="00E2451E" w:rsidRPr="00946E3C" w:rsidRDefault="00E2451E" w:rsidP="00946E3C">
      <w:pPr>
        <w:autoSpaceDE w:val="0"/>
        <w:autoSpaceDN w:val="0"/>
        <w:adjustRightInd w:val="0"/>
        <w:spacing w:line="312" w:lineRule="auto"/>
        <w:jc w:val="both"/>
        <w:rPr>
          <w:rFonts w:ascii="Lucida Sans" w:eastAsiaTheme="minorHAnsi" w:hAnsi="Lucida Sans" w:cs="Arial"/>
          <w:lang w:val="es-ES" w:eastAsia="en-US"/>
        </w:rPr>
      </w:pPr>
      <w:r w:rsidRPr="00946E3C">
        <w:rPr>
          <w:rFonts w:ascii="Lucida Sans" w:eastAsia="Lucida Sans" w:hAnsi="Lucida Sans" w:cs="Calibri Light"/>
        </w:rPr>
        <w:tab/>
        <w:t xml:space="preserve">La moción, presentada por el </w:t>
      </w:r>
      <w:r w:rsidR="00F178E6" w:rsidRPr="00946E3C">
        <w:rPr>
          <w:rFonts w:ascii="Lucida Sans" w:eastAsia="Lucida Sans" w:hAnsi="Lucida Sans" w:cs="Calibri Light"/>
        </w:rPr>
        <w:t>equipo de Gobierno</w:t>
      </w:r>
      <w:r w:rsidRPr="00946E3C">
        <w:rPr>
          <w:rFonts w:ascii="Lucida Sans" w:eastAsia="Lucida Sans" w:hAnsi="Lucida Sans" w:cs="Calibri Light"/>
        </w:rPr>
        <w:t xml:space="preserve"> y aprobada con los votos favorables de los ediles populares y de Vox y la abstención del grupo socialista, defiende que la agricultura y la ganadería son actividades esenciales y predominantes en el municipio de Caravaca y</w:t>
      </w:r>
      <w:r w:rsidR="008E49B9">
        <w:rPr>
          <w:rFonts w:ascii="Lucida Sans" w:eastAsia="Lucida Sans" w:hAnsi="Lucida Sans" w:cs="Calibri Light"/>
        </w:rPr>
        <w:t xml:space="preserve"> que</w:t>
      </w:r>
      <w:r w:rsidRPr="00946E3C">
        <w:rPr>
          <w:rFonts w:ascii="Lucida Sans" w:eastAsia="Lucida Sans" w:hAnsi="Lucida Sans" w:cs="Calibri Light"/>
        </w:rPr>
        <w:t xml:space="preserve"> esta </w:t>
      </w:r>
      <w:r w:rsidR="008E49B9">
        <w:rPr>
          <w:rFonts w:ascii="Lucida Sans" w:eastAsia="Lucida Sans" w:hAnsi="Lucida Sans" w:cs="Calibri Light"/>
        </w:rPr>
        <w:t>nueva reducción de los derechos</w:t>
      </w:r>
      <w:r w:rsidRPr="00946E3C">
        <w:rPr>
          <w:rFonts w:ascii="Lucida Sans" w:eastAsiaTheme="minorHAnsi" w:hAnsi="Lucida Sans" w:cs="Arial"/>
          <w:lang w:val="es-ES" w:eastAsia="en-US"/>
        </w:rPr>
        <w:t xml:space="preserve"> de uso del agua proveniente de manantiales, sumada a la ya existente, supone </w:t>
      </w:r>
      <w:r w:rsidR="008E49B9">
        <w:rPr>
          <w:rFonts w:ascii="Lucida Sans" w:eastAsiaTheme="minorHAnsi" w:hAnsi="Lucida Sans" w:cs="Arial"/>
          <w:lang w:val="es-ES" w:eastAsia="en-US"/>
        </w:rPr>
        <w:t>otro</w:t>
      </w:r>
      <w:r w:rsidRPr="00946E3C">
        <w:rPr>
          <w:rFonts w:ascii="Lucida Sans" w:eastAsiaTheme="minorHAnsi" w:hAnsi="Lucida Sans" w:cs="Arial"/>
          <w:lang w:val="es-ES" w:eastAsia="en-US"/>
        </w:rPr>
        <w:t xml:space="preserve"> duro golpe a la ya maltrecha situación que atraviesa el sector.</w:t>
      </w:r>
    </w:p>
    <w:p w:rsidR="00125CB7" w:rsidRPr="00946E3C" w:rsidRDefault="00125CB7" w:rsidP="00946E3C">
      <w:pPr>
        <w:autoSpaceDE w:val="0"/>
        <w:autoSpaceDN w:val="0"/>
        <w:adjustRightInd w:val="0"/>
        <w:spacing w:line="312" w:lineRule="auto"/>
        <w:jc w:val="both"/>
        <w:rPr>
          <w:rFonts w:ascii="Lucida Sans" w:eastAsiaTheme="minorHAnsi" w:hAnsi="Lucida Sans" w:cs="Arial"/>
          <w:lang w:val="es-ES" w:eastAsia="en-US"/>
        </w:rPr>
      </w:pPr>
    </w:p>
    <w:p w:rsidR="00125CB7" w:rsidRPr="008E49B9" w:rsidRDefault="00125CB7" w:rsidP="00946E3C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Lucida Sans" w:eastAsiaTheme="minorHAnsi" w:hAnsi="Lucida Sans" w:cs="Arial"/>
          <w:b/>
          <w:iCs/>
          <w:lang w:val="es-ES" w:eastAsia="en-US"/>
        </w:rPr>
      </w:pPr>
      <w:r w:rsidRPr="00946E3C">
        <w:rPr>
          <w:rFonts w:ascii="Lucida Sans" w:eastAsiaTheme="minorHAnsi" w:hAnsi="Lucida Sans" w:cs="Arial"/>
          <w:lang w:val="es-ES" w:eastAsia="en-US"/>
        </w:rPr>
        <w:t>El 21 de octubre del pasado año, el Ministerio para la Transición Ecológica y el Reto Demográfico envió una comunicación a todos aquellos agricultores que bien como titulares o cotitulares tuviesen derechos sobre el uso de aguas subterráneas con punto de captación en el ámbito territorial correspondiente a la unidad IV (ríos margen derecha)</w:t>
      </w:r>
      <w:r w:rsidR="008E49B9">
        <w:rPr>
          <w:rFonts w:ascii="Lucida Sans" w:eastAsiaTheme="minorHAnsi" w:hAnsi="Lucida Sans" w:cs="Arial"/>
          <w:lang w:val="es-ES" w:eastAsia="en-US"/>
        </w:rPr>
        <w:t>, que afecta al municipio de Caravaca</w:t>
      </w:r>
      <w:r w:rsidRPr="00946E3C">
        <w:rPr>
          <w:rFonts w:ascii="Lucida Sans" w:eastAsiaTheme="minorHAnsi" w:hAnsi="Lucida Sans" w:cs="Arial"/>
          <w:lang w:val="es-ES" w:eastAsia="en-US"/>
        </w:rPr>
        <w:t>. En di</w:t>
      </w:r>
      <w:r w:rsidR="00542D65">
        <w:rPr>
          <w:rFonts w:ascii="Lucida Sans" w:eastAsiaTheme="minorHAnsi" w:hAnsi="Lucida Sans" w:cs="Arial"/>
          <w:lang w:val="es-ES" w:eastAsia="en-US"/>
        </w:rPr>
        <w:t>cha notificación se informaba</w:t>
      </w:r>
      <w:r w:rsidRPr="00946E3C">
        <w:rPr>
          <w:rFonts w:ascii="Lucida Sans" w:eastAsiaTheme="minorHAnsi" w:hAnsi="Lucida Sans" w:cs="Arial"/>
          <w:lang w:val="es-ES" w:eastAsia="en-US"/>
        </w:rPr>
        <w:t xml:space="preserve"> que la Confederación Hidrográfica del Segura había dictado una nueva resolución mediante la cual se acordaba </w:t>
      </w:r>
      <w:r w:rsidRPr="008E49B9">
        <w:rPr>
          <w:rFonts w:ascii="Lucida Sans" w:eastAsiaTheme="minorHAnsi" w:hAnsi="Lucida Sans" w:cs="Arial,Italic"/>
          <w:b/>
          <w:iCs/>
          <w:lang w:val="es-ES" w:eastAsia="en-US"/>
        </w:rPr>
        <w:t xml:space="preserve">incrementar </w:t>
      </w:r>
      <w:r w:rsidRPr="008E49B9">
        <w:rPr>
          <w:rFonts w:ascii="Lucida Sans" w:eastAsiaTheme="minorHAnsi" w:hAnsi="Lucida Sans" w:cs="Arial"/>
          <w:b/>
          <w:iCs/>
          <w:lang w:val="es-ES" w:eastAsia="en-US"/>
        </w:rPr>
        <w:t>desde</w:t>
      </w:r>
      <w:r w:rsidRPr="008E49B9">
        <w:rPr>
          <w:rFonts w:ascii="Lucida Sans" w:eastAsiaTheme="minorHAnsi" w:hAnsi="Lucida Sans" w:cs="Arial"/>
          <w:b/>
          <w:lang w:val="es-ES" w:eastAsia="en-US"/>
        </w:rPr>
        <w:t xml:space="preserve"> </w:t>
      </w:r>
      <w:r w:rsidRPr="008E49B9">
        <w:rPr>
          <w:rFonts w:ascii="Lucida Sans" w:eastAsiaTheme="minorHAnsi" w:hAnsi="Lucida Sans" w:cs="Arial"/>
          <w:b/>
          <w:iCs/>
          <w:lang w:val="es-ES" w:eastAsia="en-US"/>
        </w:rPr>
        <w:t>el 12,5% al 25% la reducción anual de los derechos inscritos en el Registro o el</w:t>
      </w:r>
      <w:r w:rsidRPr="008E49B9">
        <w:rPr>
          <w:rFonts w:ascii="Lucida Sans" w:eastAsiaTheme="minorHAnsi" w:hAnsi="Lucida Sans" w:cs="Arial"/>
          <w:b/>
          <w:lang w:val="es-ES" w:eastAsia="en-US"/>
        </w:rPr>
        <w:t xml:space="preserve"> </w:t>
      </w:r>
      <w:r w:rsidRPr="008E49B9">
        <w:rPr>
          <w:rFonts w:ascii="Lucida Sans" w:eastAsiaTheme="minorHAnsi" w:hAnsi="Lucida Sans" w:cs="Arial"/>
          <w:b/>
          <w:iCs/>
          <w:lang w:val="es-ES" w:eastAsia="en-US"/>
        </w:rPr>
        <w:t xml:space="preserve">Catálogo de Aguas. </w:t>
      </w:r>
    </w:p>
    <w:p w:rsidR="00125CB7" w:rsidRPr="00946E3C" w:rsidRDefault="00125CB7" w:rsidP="00946E3C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Lucida Sans" w:eastAsiaTheme="minorHAnsi" w:hAnsi="Lucida Sans" w:cs="Arial"/>
          <w:iCs/>
          <w:lang w:val="es-ES" w:eastAsia="en-US"/>
        </w:rPr>
      </w:pPr>
    </w:p>
    <w:p w:rsidR="00125CB7" w:rsidRPr="00946E3C" w:rsidRDefault="00125CB7" w:rsidP="00946E3C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Lucida Sans" w:eastAsiaTheme="minorHAnsi" w:hAnsi="Lucida Sans" w:cs="Arial"/>
          <w:lang w:val="es-ES" w:eastAsia="en-US"/>
        </w:rPr>
      </w:pPr>
      <w:r w:rsidRPr="00946E3C">
        <w:rPr>
          <w:rFonts w:ascii="Lucida Sans" w:eastAsia="Lucida Sans" w:hAnsi="Lucida Sans" w:cs="Calibri Light"/>
          <w:lang w:val="es-ES"/>
        </w:rPr>
        <w:t xml:space="preserve">Ante esta situación, </w:t>
      </w:r>
      <w:r w:rsidRPr="00946E3C">
        <w:rPr>
          <w:rFonts w:ascii="Lucida Sans" w:eastAsiaTheme="minorHAnsi" w:hAnsi="Lucida Sans" w:cs="Arial"/>
          <w:lang w:val="es-ES" w:eastAsia="en-US"/>
        </w:rPr>
        <w:t xml:space="preserve">las Comunidades de Regantes, que en Caravaca agrupan a un total de 4.027 agricultores de regadío tradicional y a 3.189 comuneros, </w:t>
      </w:r>
      <w:r w:rsidR="008E49B9">
        <w:rPr>
          <w:rFonts w:ascii="Lucida Sans" w:eastAsiaTheme="minorHAnsi" w:hAnsi="Lucida Sans" w:cs="Arial"/>
          <w:lang w:val="es-ES" w:eastAsia="en-US"/>
        </w:rPr>
        <w:t>argumentan</w:t>
      </w:r>
      <w:r w:rsidR="00693F96">
        <w:rPr>
          <w:rFonts w:ascii="Lucida Sans" w:eastAsiaTheme="minorHAnsi" w:hAnsi="Lucida Sans" w:cs="Arial"/>
          <w:lang w:val="es-ES" w:eastAsia="en-US"/>
        </w:rPr>
        <w:t xml:space="preserve"> que</w:t>
      </w:r>
      <w:r w:rsidRPr="00946E3C">
        <w:rPr>
          <w:rFonts w:ascii="Lucida Sans" w:eastAsiaTheme="minorHAnsi" w:hAnsi="Lucida Sans" w:cs="Arial"/>
          <w:lang w:val="es-ES" w:eastAsia="en-US"/>
        </w:rPr>
        <w:t xml:space="preserve"> no se dan las condiciones que alega la CHS para establecer las restricciones y que se sienten indefensos al ignorarse su voz.</w:t>
      </w:r>
    </w:p>
    <w:p w:rsidR="00125CB7" w:rsidRPr="00946E3C" w:rsidRDefault="00125CB7" w:rsidP="00946E3C">
      <w:pPr>
        <w:autoSpaceDE w:val="0"/>
        <w:autoSpaceDN w:val="0"/>
        <w:adjustRightInd w:val="0"/>
        <w:spacing w:line="312" w:lineRule="auto"/>
        <w:ind w:firstLine="708"/>
        <w:rPr>
          <w:rFonts w:ascii="Lucida Sans" w:eastAsiaTheme="minorHAnsi" w:hAnsi="Lucida Sans" w:cs="Arial"/>
          <w:i/>
          <w:iCs/>
          <w:lang w:val="es-ES" w:eastAsia="en-US"/>
        </w:rPr>
      </w:pPr>
    </w:p>
    <w:p w:rsidR="00125CB7" w:rsidRPr="00946E3C" w:rsidRDefault="00125CB7" w:rsidP="00946E3C">
      <w:pPr>
        <w:spacing w:line="312" w:lineRule="auto"/>
        <w:jc w:val="both"/>
        <w:rPr>
          <w:rFonts w:ascii="Lucida Sans" w:eastAsiaTheme="minorHAnsi" w:hAnsi="Lucida Sans" w:cs="TimesNewRomanPSMT"/>
          <w:lang w:val="es-ES" w:eastAsia="en-US"/>
        </w:rPr>
      </w:pPr>
      <w:r w:rsidRPr="00946E3C">
        <w:rPr>
          <w:rFonts w:ascii="Lucida Sans" w:eastAsia="Lucida Sans" w:hAnsi="Lucida Sans" w:cs="Calibri Light"/>
          <w:lang w:val="es-ES"/>
        </w:rPr>
        <w:tab/>
        <w:t xml:space="preserve">En el Pleno ordinario correspondiente al mes de febrero se debatió una segunda moción relacionada directamente con </w:t>
      </w:r>
      <w:r w:rsidRPr="00946E3C">
        <w:rPr>
          <w:rFonts w:ascii="Lucida Sans" w:eastAsia="Lucida Sans" w:hAnsi="Lucida Sans" w:cs="Calibri Light"/>
          <w:lang w:val="es-ES"/>
        </w:rPr>
        <w:lastRenderedPageBreak/>
        <w:t xml:space="preserve">el sector de la agricultura, en este caso a propuesta del Grupo Municipal Socialista. El texto, aprobado por unanimidad de los tres grupos políticos representados en la mesa, pide al Gobierno de la Región de Murcia </w:t>
      </w:r>
      <w:r w:rsidRPr="00946E3C">
        <w:rPr>
          <w:rFonts w:ascii="Lucida Sans" w:eastAsiaTheme="minorHAnsi" w:hAnsi="Lucida Sans" w:cs="TimesNewRomanPSMT"/>
          <w:lang w:val="es-ES" w:eastAsia="en-US"/>
        </w:rPr>
        <w:t>la elaboración y</w:t>
      </w:r>
      <w:r w:rsidRPr="00946E3C">
        <w:rPr>
          <w:rFonts w:ascii="Lucida Sans" w:eastAsia="Lucida Sans" w:hAnsi="Lucida Sans" w:cs="Calibri Light"/>
          <w:lang w:val="es-ES"/>
        </w:rPr>
        <w:t xml:space="preserve"> </w:t>
      </w:r>
      <w:r w:rsidRPr="00946E3C">
        <w:rPr>
          <w:rFonts w:ascii="Lucida Sans" w:eastAsiaTheme="minorHAnsi" w:hAnsi="Lucida Sans" w:cs="TimesNewRomanPSMT"/>
          <w:lang w:val="es-ES" w:eastAsia="en-US"/>
        </w:rPr>
        <w:t xml:space="preserve">puesta en marcha de un </w:t>
      </w:r>
      <w:r w:rsidRPr="008E49B9">
        <w:rPr>
          <w:rFonts w:ascii="Lucida Sans" w:eastAsiaTheme="minorHAnsi" w:hAnsi="Lucida Sans" w:cs="TimesNewRomanPSMT"/>
          <w:b/>
          <w:lang w:val="es-ES" w:eastAsia="en-US"/>
        </w:rPr>
        <w:t xml:space="preserve">Plan de Ayudas Económicas Urgentes para el Sector Agrícola, con ayudas destinadas </w:t>
      </w:r>
      <w:r w:rsidR="00082A67">
        <w:rPr>
          <w:rFonts w:ascii="Lucida Sans" w:eastAsiaTheme="minorHAnsi" w:hAnsi="Lucida Sans" w:cs="TimesNewRomanPSMT"/>
          <w:b/>
          <w:lang w:val="es-ES" w:eastAsia="en-US"/>
        </w:rPr>
        <w:t>a paliar los efectos de la sequí</w:t>
      </w:r>
      <w:r w:rsidRPr="008E49B9">
        <w:rPr>
          <w:rFonts w:ascii="Lucida Sans" w:eastAsiaTheme="minorHAnsi" w:hAnsi="Lucida Sans" w:cs="TimesNewRomanPSMT"/>
          <w:b/>
          <w:lang w:val="es-ES" w:eastAsia="en-US"/>
        </w:rPr>
        <w:t>a extrema</w:t>
      </w:r>
      <w:r w:rsidRPr="00946E3C">
        <w:rPr>
          <w:rFonts w:ascii="Lucida Sans" w:eastAsiaTheme="minorHAnsi" w:hAnsi="Lucida Sans" w:cs="TimesNewRomanPSMT"/>
          <w:lang w:val="es-ES" w:eastAsia="en-US"/>
        </w:rPr>
        <w:t>, incluyendo subvenciones</w:t>
      </w:r>
      <w:r w:rsidRPr="00946E3C">
        <w:rPr>
          <w:rFonts w:ascii="Lucida Sans" w:eastAsia="Lucida Sans" w:hAnsi="Lucida Sans" w:cs="Calibri Light"/>
          <w:lang w:val="es-ES"/>
        </w:rPr>
        <w:t xml:space="preserve"> </w:t>
      </w:r>
      <w:r w:rsidRPr="00946E3C">
        <w:rPr>
          <w:rFonts w:ascii="Lucida Sans" w:eastAsiaTheme="minorHAnsi" w:hAnsi="Lucida Sans" w:cs="TimesNewRomanPSMT"/>
          <w:lang w:val="es-ES" w:eastAsia="en-US"/>
        </w:rPr>
        <w:t>directas a los agricultores para compensar pérdidas, salvar sus cosechas o en el caso que</w:t>
      </w:r>
      <w:r w:rsidRPr="00946E3C">
        <w:rPr>
          <w:rFonts w:ascii="Lucida Sans" w:eastAsia="Lucida Sans" w:hAnsi="Lucida Sans" w:cs="Calibri Light"/>
          <w:lang w:val="es-ES"/>
        </w:rPr>
        <w:t xml:space="preserve"> </w:t>
      </w:r>
      <w:r w:rsidRPr="00946E3C">
        <w:rPr>
          <w:rFonts w:ascii="Lucida Sans" w:eastAsiaTheme="minorHAnsi" w:hAnsi="Lucida Sans" w:cs="TimesNewRomanPSMT"/>
          <w:lang w:val="es-ES" w:eastAsia="en-US"/>
        </w:rPr>
        <w:t xml:space="preserve">el arbolado esté seco, ayudas para arrancar dicho arbolado y replantar. </w:t>
      </w:r>
    </w:p>
    <w:p w:rsidR="00125CB7" w:rsidRPr="00946E3C" w:rsidRDefault="00125CB7" w:rsidP="00946E3C">
      <w:pPr>
        <w:spacing w:line="312" w:lineRule="auto"/>
        <w:jc w:val="both"/>
        <w:rPr>
          <w:rFonts w:ascii="Lucida Sans" w:eastAsiaTheme="minorHAnsi" w:hAnsi="Lucida Sans" w:cs="TimesNewRomanPSMT"/>
          <w:lang w:val="es-ES" w:eastAsia="en-US"/>
        </w:rPr>
      </w:pPr>
    </w:p>
    <w:p w:rsidR="00125CB7" w:rsidRPr="008E49B9" w:rsidRDefault="00125CB7" w:rsidP="00946E3C">
      <w:pPr>
        <w:spacing w:line="312" w:lineRule="auto"/>
        <w:jc w:val="both"/>
        <w:rPr>
          <w:rFonts w:ascii="Lucida Sans" w:eastAsiaTheme="minorHAnsi" w:hAnsi="Lucida Sans" w:cs="TimesNewRomanPSMT"/>
          <w:b/>
          <w:lang w:val="es-ES" w:eastAsia="en-US"/>
        </w:rPr>
      </w:pPr>
      <w:r w:rsidRPr="00946E3C">
        <w:rPr>
          <w:rFonts w:ascii="Lucida Sans" w:eastAsiaTheme="minorHAnsi" w:hAnsi="Lucida Sans" w:cs="TimesNewRomanPSMT"/>
          <w:lang w:val="es-ES" w:eastAsia="en-US"/>
        </w:rPr>
        <w:tab/>
        <w:t>En otro orden de asuntos, el Pleno de la C</w:t>
      </w:r>
      <w:r w:rsidR="00F178E6" w:rsidRPr="00946E3C">
        <w:rPr>
          <w:rFonts w:ascii="Lucida Sans" w:eastAsiaTheme="minorHAnsi" w:hAnsi="Lucida Sans" w:cs="TimesNewRomanPSMT"/>
          <w:lang w:val="es-ES" w:eastAsia="en-US"/>
        </w:rPr>
        <w:t xml:space="preserve">orporación Municipal aprobó, con los votos a favor de PP y VOX y en contra de PSOE, la moción presentada por el Grupo Municipal Popular para </w:t>
      </w:r>
      <w:r w:rsidR="00F178E6" w:rsidRPr="008E49B9">
        <w:rPr>
          <w:rFonts w:ascii="Lucida Sans" w:eastAsiaTheme="minorHAnsi" w:hAnsi="Lucida Sans" w:cs="TimesNewRomanPSMT"/>
          <w:b/>
          <w:lang w:val="es-ES" w:eastAsia="en-US"/>
        </w:rPr>
        <w:t>instar al Gobierno de España a que actualice las entregas a cuenta a los ayuntamientos</w:t>
      </w:r>
      <w:r w:rsidR="00F178E6" w:rsidRPr="00946E3C">
        <w:rPr>
          <w:rFonts w:ascii="Lucida Sans" w:eastAsiaTheme="minorHAnsi" w:hAnsi="Lucida Sans" w:cs="TimesNewRomanPSMT"/>
          <w:lang w:val="es-ES" w:eastAsia="en-US"/>
        </w:rPr>
        <w:t xml:space="preserve"> correspondientes al ejercicio 2025 </w:t>
      </w:r>
      <w:r w:rsidR="008E49B9">
        <w:rPr>
          <w:rFonts w:ascii="Lucida Sans" w:eastAsiaTheme="minorHAnsi" w:hAnsi="Lucida Sans" w:cs="TimesNewRomanPSMT"/>
          <w:lang w:val="es-ES" w:eastAsia="en-US"/>
        </w:rPr>
        <w:t>por su</w:t>
      </w:r>
      <w:r w:rsidR="00F178E6" w:rsidRPr="00946E3C">
        <w:rPr>
          <w:rFonts w:ascii="Lucida Sans" w:eastAsiaTheme="minorHAnsi" w:hAnsi="Lucida Sans" w:cs="TimesNewRomanPSMT"/>
          <w:lang w:val="es-ES" w:eastAsia="en-US"/>
        </w:rPr>
        <w:t xml:space="preserve"> participación en los impuestos del Estado. </w:t>
      </w:r>
      <w:r w:rsidR="00E7619D">
        <w:rPr>
          <w:rFonts w:ascii="Lucida Sans" w:eastAsiaTheme="minorHAnsi" w:hAnsi="Lucida Sans" w:cs="TimesNewRomanPSMT"/>
          <w:lang w:val="es-ES" w:eastAsia="en-US"/>
        </w:rPr>
        <w:t xml:space="preserve">En el caso del Ayuntamiento de Caravaca la cantidad que le corresponde y que dejará de recibir este año, con la entrada en vigor del conocido como decreto ‘Omnibus’, supera el millón de euros. </w:t>
      </w:r>
      <w:r w:rsidR="00F178E6" w:rsidRPr="00946E3C">
        <w:rPr>
          <w:rFonts w:ascii="Lucida Sans" w:eastAsiaTheme="minorHAnsi" w:hAnsi="Lucida Sans" w:cs="TimesNewRomanPSMT"/>
          <w:lang w:val="es-ES" w:eastAsia="en-US"/>
        </w:rPr>
        <w:t xml:space="preserve">El texto incluye un segundo punto de acuerdo que pide a la Administración central </w:t>
      </w:r>
      <w:r w:rsidR="008E49B9">
        <w:rPr>
          <w:rFonts w:ascii="Lucida Sans" w:eastAsiaTheme="minorHAnsi" w:hAnsi="Lucida Sans" w:cs="TimesNewRomanPSMT"/>
          <w:lang w:val="es-ES" w:eastAsia="en-US"/>
        </w:rPr>
        <w:t>la adopción de</w:t>
      </w:r>
      <w:r w:rsidR="00F178E6" w:rsidRPr="00946E3C">
        <w:rPr>
          <w:rFonts w:ascii="Lucida Sans" w:eastAsiaTheme="minorHAnsi" w:hAnsi="Lucida Sans" w:cs="TimesNewRomanPSMT"/>
          <w:lang w:val="es-ES" w:eastAsia="en-US"/>
        </w:rPr>
        <w:t xml:space="preserve"> medidas para </w:t>
      </w:r>
      <w:r w:rsidR="00F178E6" w:rsidRPr="008E49B9">
        <w:rPr>
          <w:rFonts w:ascii="Lucida Sans" w:eastAsiaTheme="minorHAnsi" w:hAnsi="Lucida Sans" w:cs="TimesNewRomanPSMT"/>
          <w:b/>
          <w:lang w:val="es-ES" w:eastAsia="en-US"/>
        </w:rPr>
        <w:t>flexibilizar las reglas de gasto</w:t>
      </w:r>
      <w:r w:rsidR="00F178E6" w:rsidRPr="00946E3C">
        <w:rPr>
          <w:rFonts w:ascii="Lucida Sans" w:eastAsiaTheme="minorHAnsi" w:hAnsi="Lucida Sans" w:cs="TimesNewRomanPSMT"/>
          <w:lang w:val="es-ES" w:eastAsia="en-US"/>
        </w:rPr>
        <w:t xml:space="preserve"> </w:t>
      </w:r>
      <w:r w:rsidR="00F178E6" w:rsidRPr="008E49B9">
        <w:rPr>
          <w:rFonts w:ascii="Lucida Sans" w:eastAsiaTheme="minorHAnsi" w:hAnsi="Lucida Sans" w:cs="TimesNewRomanPSMT"/>
          <w:b/>
          <w:lang w:val="es-ES" w:eastAsia="en-US"/>
        </w:rPr>
        <w:t xml:space="preserve">de los ayuntamientos. </w:t>
      </w:r>
    </w:p>
    <w:p w:rsidR="00125CB7" w:rsidRPr="00946E3C" w:rsidRDefault="00125CB7" w:rsidP="00946E3C">
      <w:pPr>
        <w:spacing w:line="312" w:lineRule="auto"/>
        <w:jc w:val="both"/>
        <w:rPr>
          <w:rFonts w:ascii="Lucida Sans" w:eastAsiaTheme="minorHAnsi" w:hAnsi="Lucida Sans" w:cs="TimesNewRomanPSMT"/>
          <w:lang w:val="es-ES" w:eastAsia="en-US"/>
        </w:rPr>
      </w:pPr>
    </w:p>
    <w:p w:rsidR="00125CB7" w:rsidRPr="00946E3C" w:rsidRDefault="00F178E6" w:rsidP="00946E3C">
      <w:pPr>
        <w:spacing w:line="312" w:lineRule="auto"/>
        <w:jc w:val="both"/>
        <w:rPr>
          <w:rFonts w:ascii="Lucida Sans" w:eastAsiaTheme="minorHAnsi" w:hAnsi="Lucida Sans" w:cs="TimesNewRomanPSMT"/>
          <w:lang w:val="es-ES" w:eastAsia="en-US"/>
        </w:rPr>
      </w:pPr>
      <w:r w:rsidRPr="00946E3C">
        <w:rPr>
          <w:rFonts w:ascii="Lucida Sans" w:eastAsiaTheme="minorHAnsi" w:hAnsi="Lucida Sans" w:cs="TimesNewRomanPSMT"/>
          <w:lang w:val="es-ES" w:eastAsia="en-US"/>
        </w:rPr>
        <w:tab/>
      </w:r>
      <w:r w:rsidR="003B7580" w:rsidRPr="00946E3C">
        <w:rPr>
          <w:rFonts w:ascii="Lucida Sans" w:eastAsiaTheme="minorHAnsi" w:hAnsi="Lucida Sans" w:cs="TimesNewRomanPSMT"/>
          <w:lang w:val="es-ES" w:eastAsia="en-US"/>
        </w:rPr>
        <w:t xml:space="preserve">Finalmente, con el voto favorable del PSOE y PP y el voto en contra de VOX, se aprobó la moción del Grupo Municipal Socialista sobre el </w:t>
      </w:r>
      <w:r w:rsidR="003B7580" w:rsidRPr="008E49B9">
        <w:rPr>
          <w:rFonts w:ascii="Lucida Sans" w:eastAsiaTheme="minorHAnsi" w:hAnsi="Lucida Sans" w:cs="TimesNewRomanPSMT"/>
          <w:b/>
          <w:lang w:val="es-ES" w:eastAsia="en-US"/>
        </w:rPr>
        <w:t>‘8 de marzo-‘Día Internacional de las Mujeres’</w:t>
      </w:r>
      <w:r w:rsidR="003B7580" w:rsidRPr="00946E3C">
        <w:rPr>
          <w:rFonts w:ascii="Lucida Sans" w:eastAsiaTheme="minorHAnsi" w:hAnsi="Lucida Sans" w:cs="TimesNewRomanPSMT"/>
          <w:lang w:val="es-ES" w:eastAsia="en-US"/>
        </w:rPr>
        <w:t xml:space="preserve">, </w:t>
      </w:r>
      <w:r w:rsidR="008E49B9">
        <w:rPr>
          <w:rFonts w:ascii="Lucida Sans" w:eastAsiaTheme="minorHAnsi" w:hAnsi="Lucida Sans" w:cs="TimesNewRomanPSMT"/>
          <w:lang w:val="es-ES" w:eastAsia="en-US"/>
        </w:rPr>
        <w:t>donde</w:t>
      </w:r>
      <w:r w:rsidR="003B7580" w:rsidRPr="00946E3C">
        <w:rPr>
          <w:rFonts w:ascii="Lucida Sans" w:eastAsiaTheme="minorHAnsi" w:hAnsi="Lucida Sans" w:cs="TimesNewRomanPSMT"/>
          <w:lang w:val="es-ES" w:eastAsia="en-US"/>
        </w:rPr>
        <w:t xml:space="preserve"> se expresa el apoyo a las políticas en materia e igualdad y se pone de manifiesto la necesidad seguir avanzando en este camino, con nuevas acciones de formación y sensibilización o protocolos anti acoso sexual en todas las organizaciones y asociaciones. </w:t>
      </w:r>
    </w:p>
    <w:p w:rsidR="003B7580" w:rsidRPr="00946E3C" w:rsidRDefault="003B7580" w:rsidP="00946E3C">
      <w:pPr>
        <w:spacing w:line="312" w:lineRule="auto"/>
        <w:jc w:val="both"/>
        <w:rPr>
          <w:rFonts w:ascii="Lucida Sans" w:eastAsiaTheme="minorHAnsi" w:hAnsi="Lucida Sans" w:cs="TimesNewRomanPSMT"/>
          <w:lang w:val="es-ES" w:eastAsia="en-US"/>
        </w:rPr>
      </w:pPr>
    </w:p>
    <w:p w:rsidR="003B7580" w:rsidRPr="00946E3C" w:rsidRDefault="003B7580" w:rsidP="00946E3C">
      <w:pPr>
        <w:spacing w:line="312" w:lineRule="auto"/>
        <w:jc w:val="both"/>
        <w:rPr>
          <w:rFonts w:ascii="Lucida Sans" w:eastAsiaTheme="minorHAnsi" w:hAnsi="Lucida Sans" w:cs="TimesNewRomanPSMT"/>
          <w:lang w:val="es-ES" w:eastAsia="en-US"/>
        </w:rPr>
      </w:pPr>
      <w:r w:rsidRPr="00946E3C">
        <w:rPr>
          <w:rFonts w:ascii="Lucida Sans" w:eastAsiaTheme="minorHAnsi" w:hAnsi="Lucida Sans" w:cs="TimesNewRomanPSMT"/>
          <w:lang w:val="es-ES" w:eastAsia="en-US"/>
        </w:rPr>
        <w:lastRenderedPageBreak/>
        <w:tab/>
        <w:t>En el Pleno de febrero, la Co</w:t>
      </w:r>
      <w:r w:rsidR="00946E3C" w:rsidRPr="00946E3C">
        <w:rPr>
          <w:rFonts w:ascii="Lucida Sans" w:eastAsiaTheme="minorHAnsi" w:hAnsi="Lucida Sans" w:cs="TimesNewRomanPSMT"/>
          <w:lang w:val="es-ES" w:eastAsia="en-US"/>
        </w:rPr>
        <w:t xml:space="preserve">ncejalía de Hacienda dio cuenta del </w:t>
      </w:r>
      <w:r w:rsidR="00946E3C" w:rsidRPr="008E49B9">
        <w:rPr>
          <w:rFonts w:ascii="Lucida Sans" w:eastAsiaTheme="minorHAnsi" w:hAnsi="Lucida Sans" w:cs="TimesNewRomanPSMT"/>
          <w:b/>
          <w:lang w:val="es-ES" w:eastAsia="en-US"/>
        </w:rPr>
        <w:t>informe de anual del Comité Antifraude, donde se corrobora el correcto uso de los fondos europeos ‘Next Generation’</w:t>
      </w:r>
      <w:r w:rsidR="00946E3C" w:rsidRPr="00946E3C">
        <w:rPr>
          <w:rFonts w:ascii="Lucida Sans" w:eastAsiaTheme="minorHAnsi" w:hAnsi="Lucida Sans" w:cs="TimesNewRomanPSMT"/>
          <w:lang w:val="es-ES" w:eastAsia="en-US"/>
        </w:rPr>
        <w:t xml:space="preserve"> que el Ayuntamiento de Caravaca ha recibido a través de un total de 13 subvenciones, de conformidad con las normas aplicables en lo que se refiere a la prevención, detección y corrección del fraude, la corrupción y los conflictos de intereses.</w:t>
      </w:r>
    </w:p>
    <w:p w:rsidR="00946E3C" w:rsidRPr="00946E3C" w:rsidRDefault="00946E3C" w:rsidP="00946E3C">
      <w:pPr>
        <w:spacing w:line="312" w:lineRule="auto"/>
        <w:jc w:val="both"/>
        <w:rPr>
          <w:rFonts w:ascii="Lucida Sans" w:eastAsiaTheme="minorHAnsi" w:hAnsi="Lucida Sans" w:cs="TimesNewRomanPSMT"/>
          <w:lang w:val="es-ES" w:eastAsia="en-US"/>
        </w:rPr>
      </w:pPr>
    </w:p>
    <w:p w:rsidR="00946E3C" w:rsidRPr="00946E3C" w:rsidRDefault="00946E3C" w:rsidP="00946E3C">
      <w:pPr>
        <w:spacing w:line="312" w:lineRule="auto"/>
        <w:jc w:val="both"/>
        <w:rPr>
          <w:rFonts w:ascii="Lucida Sans" w:eastAsiaTheme="minorHAnsi" w:hAnsi="Lucida Sans" w:cs="TimesNewRomanPSMT"/>
          <w:lang w:val="es-ES" w:eastAsia="en-US"/>
        </w:rPr>
      </w:pPr>
      <w:r w:rsidRPr="00946E3C">
        <w:rPr>
          <w:rFonts w:ascii="Lucida Sans" w:eastAsiaTheme="minorHAnsi" w:hAnsi="Lucida Sans" w:cs="TimesNewRomanPSMT"/>
          <w:lang w:val="es-ES" w:eastAsia="en-US"/>
        </w:rPr>
        <w:tab/>
        <w:t xml:space="preserve">La sesión plenaria finalizó con una batería de </w:t>
      </w:r>
      <w:r w:rsidRPr="008E49B9">
        <w:rPr>
          <w:rFonts w:ascii="Lucida Sans" w:eastAsiaTheme="minorHAnsi" w:hAnsi="Lucida Sans" w:cs="TimesNewRomanPSMT"/>
          <w:b/>
          <w:lang w:val="es-ES" w:eastAsia="en-US"/>
        </w:rPr>
        <w:t>ruegos</w:t>
      </w:r>
      <w:r w:rsidRPr="00946E3C">
        <w:rPr>
          <w:rFonts w:ascii="Lucida Sans" w:eastAsiaTheme="minorHAnsi" w:hAnsi="Lucida Sans" w:cs="TimesNewRomanPSMT"/>
          <w:lang w:val="es-ES" w:eastAsia="en-US"/>
        </w:rPr>
        <w:t xml:space="preserve"> presentada por los dos grupos municipales de la oposición. </w:t>
      </w:r>
    </w:p>
    <w:p w:rsidR="003B7580" w:rsidRDefault="003B7580" w:rsidP="00125CB7">
      <w:pPr>
        <w:spacing w:line="312" w:lineRule="auto"/>
        <w:jc w:val="both"/>
        <w:rPr>
          <w:rFonts w:ascii="Lucida Sans" w:eastAsiaTheme="minorHAnsi" w:hAnsi="Lucida Sans" w:cs="TimesNewRomanPSMT"/>
          <w:lang w:val="es-ES" w:eastAsia="en-US"/>
        </w:rPr>
      </w:pPr>
    </w:p>
    <w:p w:rsidR="003B7580" w:rsidRPr="00125CB7" w:rsidRDefault="003B7580" w:rsidP="003B7580">
      <w:pPr>
        <w:spacing w:line="312" w:lineRule="auto"/>
        <w:jc w:val="both"/>
        <w:rPr>
          <w:rFonts w:ascii="Lucida Sans" w:eastAsia="Lucida Sans" w:hAnsi="Lucida Sans" w:cs="Calibri Light"/>
          <w:lang w:val="es-ES"/>
        </w:rPr>
      </w:pPr>
    </w:p>
    <w:sectPr w:rsidR="003B7580" w:rsidRPr="00125CB7" w:rsidSect="005F0BD5">
      <w:headerReference w:type="default" r:id="rId7"/>
      <w:footerReference w:type="default" r:id="rId8"/>
      <w:pgSz w:w="11906" w:h="16838"/>
      <w:pgMar w:top="2694" w:right="1701" w:bottom="1417" w:left="2835" w:header="902" w:footer="5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BEA" w:rsidRDefault="003A1BEA" w:rsidP="00A0412D">
      <w:r>
        <w:separator/>
      </w:r>
    </w:p>
  </w:endnote>
  <w:endnote w:type="continuationSeparator" w:id="1">
    <w:p w:rsidR="003A1BEA" w:rsidRDefault="003A1BEA" w:rsidP="00A0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2D" w:rsidRPr="00371D3D" w:rsidRDefault="005268E6" w:rsidP="005268E6">
    <w:pPr>
      <w:pStyle w:val="Piedepgina"/>
      <w:ind w:hanging="993"/>
    </w:pPr>
    <w:r>
      <w:rPr>
        <w:noProof/>
        <w:lang w:val="es-ES" w:eastAsia="es-ES"/>
      </w:rPr>
      <w:drawing>
        <wp:inline distT="0" distB="0" distL="0" distR="0">
          <wp:extent cx="2590800" cy="342900"/>
          <wp:effectExtent l="0" t="0" r="0" b="0"/>
          <wp:docPr id="20362975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97519" name="Imagen 2036297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BEA" w:rsidRDefault="003A1BEA" w:rsidP="00A0412D">
      <w:r>
        <w:separator/>
      </w:r>
    </w:p>
  </w:footnote>
  <w:footnote w:type="continuationSeparator" w:id="1">
    <w:p w:rsidR="003A1BEA" w:rsidRDefault="003A1BEA" w:rsidP="00A04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C5" w:rsidRPr="00A3751C" w:rsidRDefault="008A3F3F" w:rsidP="0048423E">
    <w:pPr>
      <w:pStyle w:val="Encabezado"/>
      <w:tabs>
        <w:tab w:val="clear" w:pos="4252"/>
        <w:tab w:val="clear" w:pos="8504"/>
        <w:tab w:val="center" w:pos="7511"/>
      </w:tabs>
      <w:ind w:hanging="1701"/>
      <w:jc w:val="right"/>
      <w:rPr>
        <w:rFonts w:ascii="Lucida Sans" w:hAnsi="Lucida Sans"/>
        <w:b/>
        <w:color w:val="FF0000"/>
      </w:rPr>
    </w:pPr>
    <w:r w:rsidRPr="008A3F3F">
      <w:rPr>
        <w:noProof/>
        <w:lang w:val="es-ES"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6" type="#_x0000_t202" style="position:absolute;left:0;text-align:left;margin-left:67.25pt;margin-top:45pt;width:363.4pt;height:68.8pt;z-index:-25165824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" filled="f" stroked="f">
          <v:textbox>
            <w:txbxContent>
              <w:p w:rsidR="00935FED" w:rsidRDefault="009F2F08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  <w:t>Nota de prensa</w:t>
                </w:r>
              </w:p>
              <w:p w:rsidR="0064136D" w:rsidRPr="0064136D" w:rsidRDefault="0064136D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</w:pPr>
                <w:r w:rsidRPr="0064136D"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  <w:t>Departamento de Comunicación</w:t>
                </w:r>
              </w:p>
            </w:txbxContent>
          </v:textbox>
          <w10:wrap anchory="page"/>
        </v:shape>
      </w:pict>
    </w:r>
    <w:r w:rsidR="0048423E">
      <w:rPr>
        <w:noProof/>
        <w:lang w:val="es-ES" w:eastAsia="es-ES"/>
      </w:rPr>
      <w:drawing>
        <wp:inline distT="0" distB="0" distL="0" distR="0">
          <wp:extent cx="1626722" cy="825500"/>
          <wp:effectExtent l="0" t="0" r="0" b="0"/>
          <wp:docPr id="1525815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815213" name="Imagen 1525815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06" cy="829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1D3D">
      <w:tab/>
    </w:r>
  </w:p>
  <w:p w:rsidR="007423C5" w:rsidRPr="00A3751C" w:rsidRDefault="00E75B02">
    <w:pPr>
      <w:pStyle w:val="Encabezado"/>
      <w:rPr>
        <w:color w:val="FF0000"/>
      </w:rPr>
    </w:pPr>
    <w:r w:rsidRPr="00A3751C">
      <w:rPr>
        <w:noProof/>
        <w:color w:val="FF0000"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1704975</wp:posOffset>
          </wp:positionH>
          <wp:positionV relativeFrom="paragraph">
            <wp:posOffset>2170430</wp:posOffset>
          </wp:positionV>
          <wp:extent cx="4117080" cy="7103982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080" cy="710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22F9"/>
    <w:multiLevelType w:val="hybridMultilevel"/>
    <w:tmpl w:val="C85CED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0412D"/>
    <w:rsid w:val="000038C7"/>
    <w:rsid w:val="00005283"/>
    <w:rsid w:val="000277A1"/>
    <w:rsid w:val="00043804"/>
    <w:rsid w:val="00044500"/>
    <w:rsid w:val="00065C8B"/>
    <w:rsid w:val="000704E6"/>
    <w:rsid w:val="00082A67"/>
    <w:rsid w:val="000906D0"/>
    <w:rsid w:val="0009185D"/>
    <w:rsid w:val="000A5CA2"/>
    <w:rsid w:val="000F4012"/>
    <w:rsid w:val="00105A3B"/>
    <w:rsid w:val="00125CB7"/>
    <w:rsid w:val="0013236A"/>
    <w:rsid w:val="00134E65"/>
    <w:rsid w:val="00137BC7"/>
    <w:rsid w:val="00143F29"/>
    <w:rsid w:val="001817D1"/>
    <w:rsid w:val="00184A6C"/>
    <w:rsid w:val="001D6662"/>
    <w:rsid w:val="001D7853"/>
    <w:rsid w:val="001F31EC"/>
    <w:rsid w:val="001F4F4E"/>
    <w:rsid w:val="001F645F"/>
    <w:rsid w:val="00215B0C"/>
    <w:rsid w:val="00216206"/>
    <w:rsid w:val="00220883"/>
    <w:rsid w:val="00224D08"/>
    <w:rsid w:val="00237C56"/>
    <w:rsid w:val="0024516C"/>
    <w:rsid w:val="002467C8"/>
    <w:rsid w:val="00262DCC"/>
    <w:rsid w:val="00277612"/>
    <w:rsid w:val="00280F51"/>
    <w:rsid w:val="002B3D86"/>
    <w:rsid w:val="002C17FE"/>
    <w:rsid w:val="002C183A"/>
    <w:rsid w:val="002E6AB1"/>
    <w:rsid w:val="002F22AB"/>
    <w:rsid w:val="00316FA7"/>
    <w:rsid w:val="00330751"/>
    <w:rsid w:val="003418FA"/>
    <w:rsid w:val="003425BC"/>
    <w:rsid w:val="003616EB"/>
    <w:rsid w:val="00371D3D"/>
    <w:rsid w:val="003752BF"/>
    <w:rsid w:val="003962DA"/>
    <w:rsid w:val="003A1BEA"/>
    <w:rsid w:val="003A286A"/>
    <w:rsid w:val="003B7580"/>
    <w:rsid w:val="003C763B"/>
    <w:rsid w:val="003F2EF6"/>
    <w:rsid w:val="0041268F"/>
    <w:rsid w:val="004168B2"/>
    <w:rsid w:val="00432422"/>
    <w:rsid w:val="004760DF"/>
    <w:rsid w:val="00482907"/>
    <w:rsid w:val="0048423E"/>
    <w:rsid w:val="0048724D"/>
    <w:rsid w:val="004C6232"/>
    <w:rsid w:val="004E07FB"/>
    <w:rsid w:val="004F361A"/>
    <w:rsid w:val="00505B20"/>
    <w:rsid w:val="005268E6"/>
    <w:rsid w:val="0053376B"/>
    <w:rsid w:val="00542D65"/>
    <w:rsid w:val="00544345"/>
    <w:rsid w:val="005522C3"/>
    <w:rsid w:val="00586041"/>
    <w:rsid w:val="00586D0D"/>
    <w:rsid w:val="00592638"/>
    <w:rsid w:val="005963F5"/>
    <w:rsid w:val="005A0B8C"/>
    <w:rsid w:val="005A2942"/>
    <w:rsid w:val="005F0BD5"/>
    <w:rsid w:val="0060162F"/>
    <w:rsid w:val="0062318C"/>
    <w:rsid w:val="00634D90"/>
    <w:rsid w:val="0064136D"/>
    <w:rsid w:val="00643925"/>
    <w:rsid w:val="00645ABA"/>
    <w:rsid w:val="0065137D"/>
    <w:rsid w:val="006635C0"/>
    <w:rsid w:val="00673E46"/>
    <w:rsid w:val="0067550A"/>
    <w:rsid w:val="006772EC"/>
    <w:rsid w:val="00685987"/>
    <w:rsid w:val="00693F96"/>
    <w:rsid w:val="006A736B"/>
    <w:rsid w:val="006B2240"/>
    <w:rsid w:val="006B6C2B"/>
    <w:rsid w:val="006D2DF8"/>
    <w:rsid w:val="00702238"/>
    <w:rsid w:val="007026FD"/>
    <w:rsid w:val="00710901"/>
    <w:rsid w:val="007327F1"/>
    <w:rsid w:val="007423C5"/>
    <w:rsid w:val="00773C91"/>
    <w:rsid w:val="0078583A"/>
    <w:rsid w:val="007A0CCF"/>
    <w:rsid w:val="007A0FEB"/>
    <w:rsid w:val="007B1CF6"/>
    <w:rsid w:val="007B5850"/>
    <w:rsid w:val="007B65DF"/>
    <w:rsid w:val="007F30A0"/>
    <w:rsid w:val="0081120D"/>
    <w:rsid w:val="00811FA7"/>
    <w:rsid w:val="00812D8B"/>
    <w:rsid w:val="00830DB8"/>
    <w:rsid w:val="0083656F"/>
    <w:rsid w:val="00846931"/>
    <w:rsid w:val="00855E10"/>
    <w:rsid w:val="00864D47"/>
    <w:rsid w:val="008851D9"/>
    <w:rsid w:val="00887A68"/>
    <w:rsid w:val="008A3F3F"/>
    <w:rsid w:val="008B1016"/>
    <w:rsid w:val="008C3A83"/>
    <w:rsid w:val="008D0F79"/>
    <w:rsid w:val="008D70D9"/>
    <w:rsid w:val="008E49B9"/>
    <w:rsid w:val="008F4293"/>
    <w:rsid w:val="0090327B"/>
    <w:rsid w:val="00935FED"/>
    <w:rsid w:val="00946E3C"/>
    <w:rsid w:val="0095174A"/>
    <w:rsid w:val="0095256E"/>
    <w:rsid w:val="00957112"/>
    <w:rsid w:val="0095771B"/>
    <w:rsid w:val="00982796"/>
    <w:rsid w:val="009B012C"/>
    <w:rsid w:val="009D39CD"/>
    <w:rsid w:val="009D3D07"/>
    <w:rsid w:val="009D66D2"/>
    <w:rsid w:val="009F2F08"/>
    <w:rsid w:val="00A0412D"/>
    <w:rsid w:val="00A2052F"/>
    <w:rsid w:val="00A20B41"/>
    <w:rsid w:val="00A3751C"/>
    <w:rsid w:val="00A64342"/>
    <w:rsid w:val="00A82A0B"/>
    <w:rsid w:val="00AA7A57"/>
    <w:rsid w:val="00AC6A93"/>
    <w:rsid w:val="00AD5E77"/>
    <w:rsid w:val="00B13B96"/>
    <w:rsid w:val="00B27EE3"/>
    <w:rsid w:val="00B60DCE"/>
    <w:rsid w:val="00B70933"/>
    <w:rsid w:val="00B76C93"/>
    <w:rsid w:val="00B810B3"/>
    <w:rsid w:val="00BA190E"/>
    <w:rsid w:val="00BA566C"/>
    <w:rsid w:val="00BB4D8C"/>
    <w:rsid w:val="00BC668B"/>
    <w:rsid w:val="00C024D8"/>
    <w:rsid w:val="00C16CE5"/>
    <w:rsid w:val="00C52CAB"/>
    <w:rsid w:val="00C8304A"/>
    <w:rsid w:val="00CC1B23"/>
    <w:rsid w:val="00CD415D"/>
    <w:rsid w:val="00CE254E"/>
    <w:rsid w:val="00CF0B3B"/>
    <w:rsid w:val="00D05E06"/>
    <w:rsid w:val="00D210D1"/>
    <w:rsid w:val="00D41E15"/>
    <w:rsid w:val="00D62271"/>
    <w:rsid w:val="00D6784A"/>
    <w:rsid w:val="00DE51D5"/>
    <w:rsid w:val="00E2451E"/>
    <w:rsid w:val="00E34437"/>
    <w:rsid w:val="00E64686"/>
    <w:rsid w:val="00E67387"/>
    <w:rsid w:val="00E75B02"/>
    <w:rsid w:val="00E7619D"/>
    <w:rsid w:val="00EA7475"/>
    <w:rsid w:val="00ED2396"/>
    <w:rsid w:val="00EF15BB"/>
    <w:rsid w:val="00F00A3B"/>
    <w:rsid w:val="00F028F5"/>
    <w:rsid w:val="00F178E6"/>
    <w:rsid w:val="00F36603"/>
    <w:rsid w:val="00F47035"/>
    <w:rsid w:val="00F60636"/>
    <w:rsid w:val="00F6399B"/>
    <w:rsid w:val="00F6524E"/>
    <w:rsid w:val="00F7060D"/>
    <w:rsid w:val="00F962B8"/>
    <w:rsid w:val="00FB6955"/>
    <w:rsid w:val="00FB7942"/>
    <w:rsid w:val="00FC29F3"/>
    <w:rsid w:val="00FC2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ED"/>
    <w:pPr>
      <w:spacing w:after="0" w:line="240" w:lineRule="auto"/>
    </w:pPr>
    <w:rPr>
      <w:rFonts w:ascii="Courier" w:eastAsia="Times New Roman" w:hAnsi="Courier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412D"/>
  </w:style>
  <w:style w:type="paragraph" w:styleId="Piedepgina">
    <w:name w:val="footer"/>
    <w:basedOn w:val="Normal"/>
    <w:link w:val="Piedepgina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12D"/>
  </w:style>
  <w:style w:type="table" w:styleId="Tablaconcuadrcula">
    <w:name w:val="Table Grid"/>
    <w:basedOn w:val="Tablanormal"/>
    <w:uiPriority w:val="39"/>
    <w:rsid w:val="0093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3D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D07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Normal1">
    <w:name w:val="Normal1"/>
    <w:rsid w:val="009F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B2240"/>
    <w:rPr>
      <w:color w:val="0563C1" w:themeColor="hyperlink"/>
      <w:u w:val="single"/>
    </w:rPr>
  </w:style>
  <w:style w:type="paragraph" w:customStyle="1" w:styleId="ta-justify">
    <w:name w:val="ta-justify"/>
    <w:basedOn w:val="Normal"/>
    <w:rsid w:val="005963F5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d-underline">
    <w:name w:val="td-underline"/>
    <w:basedOn w:val="Fuentedeprrafopredeter"/>
    <w:rsid w:val="005963F5"/>
  </w:style>
  <w:style w:type="character" w:styleId="Textoennegrita">
    <w:name w:val="Strong"/>
    <w:basedOn w:val="Fuentedeprrafopredeter"/>
    <w:uiPriority w:val="22"/>
    <w:qFormat/>
    <w:rsid w:val="005963F5"/>
    <w:rPr>
      <w:b/>
      <w:bCs/>
    </w:rPr>
  </w:style>
  <w:style w:type="character" w:styleId="nfasis">
    <w:name w:val="Emphasis"/>
    <w:basedOn w:val="Fuentedeprrafopredeter"/>
    <w:uiPriority w:val="20"/>
    <w:qFormat/>
    <w:rsid w:val="005963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customStyle="1" w:styleId="titulo">
    <w:name w:val="titulo"/>
    <w:basedOn w:val="Normal"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oypena">
    <w:name w:val="oypena"/>
    <w:basedOn w:val="Fuentedeprrafopredeter"/>
    <w:rsid w:val="00B13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805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</dc:creator>
  <cp:keywords/>
  <dc:description/>
  <cp:lastModifiedBy>MCLL</cp:lastModifiedBy>
  <cp:revision>93</cp:revision>
  <cp:lastPrinted>2025-02-25T10:16:00Z</cp:lastPrinted>
  <dcterms:created xsi:type="dcterms:W3CDTF">2025-01-30T11:09:00Z</dcterms:created>
  <dcterms:modified xsi:type="dcterms:W3CDTF">2025-02-25T10:41:00Z</dcterms:modified>
</cp:coreProperties>
</file>